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B7" w:rsidRDefault="004752B5">
      <w:pPr>
        <w:widowControl w:val="0"/>
        <w:suppressAutoHyphens/>
        <w:spacing w:after="0" w:line="360" w:lineRule="auto"/>
        <w:jc w:val="center"/>
        <w:rPr>
          <w:rFonts w:ascii="Calibri" w:eastAsia="Calibri" w:hAnsi="Calibri" w:cs="Calibri"/>
          <w:b/>
          <w:color w:val="00000A"/>
        </w:rPr>
      </w:pPr>
      <w:r>
        <w:rPr>
          <w:rFonts w:ascii="Calibri" w:eastAsia="Calibri" w:hAnsi="Calibri" w:cs="Calibri"/>
          <w:b/>
          <w:color w:val="00000A"/>
        </w:rPr>
        <w:t>ONLINE PRIVACY CONTACT FORM</w:t>
      </w: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4752B5" w:rsidRDefault="004752B5" w:rsidP="004752B5">
      <w:pPr>
        <w:widowControl w:val="0"/>
        <w:suppressAutoHyphens/>
        <w:spacing w:after="0" w:line="360" w:lineRule="auto"/>
        <w:jc w:val="both"/>
        <w:rPr>
          <w:rFonts w:ascii="Calibri" w:eastAsia="Calibri" w:hAnsi="Calibri" w:cs="Calibri"/>
          <w:b/>
          <w:color w:val="00000A"/>
        </w:rPr>
      </w:pPr>
      <w:r>
        <w:rPr>
          <w:rFonts w:ascii="Calibri" w:eastAsia="Calibri" w:hAnsi="Calibri" w:cs="Calibri"/>
          <w:b/>
          <w:color w:val="00000A"/>
        </w:rPr>
        <w:t xml:space="preserve">The </w:t>
      </w:r>
      <w:r>
        <w:rPr>
          <w:rFonts w:ascii="Calibri" w:eastAsia="Calibri" w:hAnsi="Calibri" w:cs="Calibri"/>
          <w:b/>
          <w:color w:val="00000A"/>
        </w:rPr>
        <w:t>data controller</w:t>
      </w:r>
    </w:p>
    <w:p w:rsidR="00AC41B7" w:rsidRDefault="004752B5" w:rsidP="004752B5">
      <w:pPr>
        <w:widowControl w:val="0"/>
        <w:suppressAutoHyphens/>
        <w:spacing w:after="0" w:line="360" w:lineRule="auto"/>
        <w:jc w:val="both"/>
        <w:rPr>
          <w:rFonts w:ascii="Calibri" w:eastAsia="Calibri" w:hAnsi="Calibri" w:cs="Calibri"/>
          <w:b/>
          <w:color w:val="00000A"/>
        </w:rPr>
      </w:pPr>
      <w:bookmarkStart w:id="0" w:name="_GoBack"/>
      <w:bookmarkEnd w:id="0"/>
      <w:r>
        <w:rPr>
          <w:rFonts w:ascii="Calibri" w:eastAsia="Calibri" w:hAnsi="Calibri" w:cs="Calibri"/>
          <w:i/>
          <w:color w:val="00000A"/>
          <w:sz w:val="20"/>
        </w:rPr>
        <w:t>Agrilandia Soc. agricola a.r.l. - Strada Vicinale delle Spianate - Castiglioncello (Livorno) - Italia</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b/>
          <w:color w:val="00000A"/>
        </w:rPr>
      </w:pPr>
      <w:r>
        <w:rPr>
          <w:rFonts w:ascii="Calibri" w:eastAsia="Calibri" w:hAnsi="Calibri" w:cs="Calibri"/>
          <w:b/>
          <w:color w:val="00000A"/>
        </w:rPr>
        <w:t>Purpose of processing.</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The personal identification and contact data collected from the interested party/user of the site, without solicitation of any kind by the Owner, are processed and used directly for the following purposes:</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(a) to respond to the user’s request for informati</w:t>
      </w:r>
      <w:r>
        <w:rPr>
          <w:rFonts w:ascii="Calibri" w:eastAsia="Calibri" w:hAnsi="Calibri" w:cs="Calibri"/>
          <w:color w:val="00000A"/>
        </w:rPr>
        <w:t>on or send feedback/suggestions or for other requests from the user, as well as for necessary and/ or complementary purposes, such as archiving, in full</w:t>
      </w:r>
      <w:r>
        <w:rPr>
          <w:rFonts w:ascii="Calibri" w:eastAsia="Calibri" w:hAnsi="Calibri" w:cs="Calibri"/>
          <w:color w:val="00000A"/>
        </w:rPr>
        <w:t xml:space="preserve"> compliance with the principles of correctness and lawfulness and within the provisions of law.</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 xml:space="preserve">(b) to </w:t>
      </w:r>
      <w:r>
        <w:rPr>
          <w:rFonts w:ascii="Calibri" w:eastAsia="Calibri" w:hAnsi="Calibri" w:cs="Calibri"/>
          <w:color w:val="00000A"/>
        </w:rPr>
        <w:t>send communications on future commercial and promotional initiatives; announcements</w:t>
      </w:r>
      <w:r>
        <w:rPr>
          <w:rFonts w:ascii="Calibri" w:eastAsia="Calibri" w:hAnsi="Calibri" w:cs="Calibri"/>
          <w:color w:val="00000A"/>
        </w:rPr>
        <w:t xml:space="preserve"> of services and offers from the Owner and to send informational and promotional messages related to the Owner’s activity, as well as for related and necessary purposes</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b/>
          <w:color w:val="00000A"/>
        </w:rPr>
      </w:pPr>
      <w:r>
        <w:rPr>
          <w:rFonts w:ascii="Calibri" w:eastAsia="Calibri" w:hAnsi="Calibri" w:cs="Calibri"/>
          <w:b/>
          <w:color w:val="00000A"/>
        </w:rPr>
        <w:t>Pr</w:t>
      </w:r>
      <w:r>
        <w:rPr>
          <w:rFonts w:ascii="Calibri" w:eastAsia="Calibri" w:hAnsi="Calibri" w:cs="Calibri"/>
          <w:b/>
          <w:color w:val="00000A"/>
        </w:rPr>
        <w:t>ovision and consent of data</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Concerning point A the supply of data and consent is optional, however refusal makes it impossible for the Owner to respond to your requests. Consent for processing is necessary for point B, since it concerns the commercial info</w:t>
      </w:r>
      <w:r>
        <w:rPr>
          <w:rFonts w:ascii="Calibri" w:eastAsia="Calibri" w:hAnsi="Calibri" w:cs="Calibri"/>
          <w:color w:val="00000A"/>
        </w:rPr>
        <w:t>rmation activity of promoting the activities and services of the Owner. Consent shall be deemed to have been freely given by flagging the box "Consent"</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b/>
          <w:color w:val="00000A"/>
        </w:rPr>
        <w:t>Mode of treatment</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The processing of your personal data will be consistent with the principles of fairne</w:t>
      </w:r>
      <w:r>
        <w:rPr>
          <w:rFonts w:ascii="Calibri" w:eastAsia="Calibri" w:hAnsi="Calibri" w:cs="Calibri"/>
          <w:color w:val="00000A"/>
        </w:rPr>
        <w:t>ss, lawfulness and transparency, protecting your privacy and your rights. They will be treated with the help of current computer systems or paper media by specially authorized personnel. The Owner will implement technical and organizational measures approp</w:t>
      </w:r>
      <w:r>
        <w:rPr>
          <w:rFonts w:ascii="Calibri" w:eastAsia="Calibri" w:hAnsi="Calibri" w:cs="Calibri"/>
          <w:color w:val="00000A"/>
        </w:rPr>
        <w:t>riate to the level of risk.</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b/>
          <w:color w:val="00000A"/>
        </w:rPr>
        <w:t>Transfer of Extra EU Data</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The Data of the interested party will not be transferred to non-European countries. In case of future transfer of data to non-European countries or international organisations, all the provisions of Ch</w:t>
      </w:r>
      <w:r>
        <w:rPr>
          <w:rFonts w:ascii="Calibri" w:eastAsia="Calibri" w:hAnsi="Calibri" w:cs="Calibri"/>
          <w:color w:val="00000A"/>
        </w:rPr>
        <w:t>apter V (EU Regulation 2016/679) will be respected in order to ensure an adequate level of protection.</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b/>
          <w:color w:val="00000A"/>
        </w:rPr>
        <w:t>Rights of the interested party</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The interested party has the right to ask the data controller for the right of access (Art. 15 GDPR) to personal data, th</w:t>
      </w:r>
      <w:r>
        <w:rPr>
          <w:rFonts w:ascii="Calibri" w:eastAsia="Calibri" w:hAnsi="Calibri" w:cs="Calibri"/>
          <w:color w:val="00000A"/>
        </w:rPr>
        <w:t xml:space="preserve">eir origin and recipients and the purposes of data processing, free of charge, as well as the right to rectification (Art. 16 GDPR), erasure </w:t>
      </w:r>
      <w:proofErr w:type="gramStart"/>
      <w:r>
        <w:rPr>
          <w:rFonts w:ascii="Calibri" w:eastAsia="Calibri" w:hAnsi="Calibri" w:cs="Calibri"/>
          <w:color w:val="00000A"/>
        </w:rPr>
        <w:t>( Art.</w:t>
      </w:r>
      <w:proofErr w:type="gramEnd"/>
      <w:r>
        <w:rPr>
          <w:rFonts w:ascii="Calibri" w:eastAsia="Calibri" w:hAnsi="Calibri" w:cs="Calibri"/>
          <w:color w:val="00000A"/>
        </w:rPr>
        <w:t xml:space="preserve"> 17 GDPR) or the restriction of the processing of this data (Art. 18 GDPR). You also have the right to reques</w:t>
      </w:r>
      <w:r>
        <w:rPr>
          <w:rFonts w:ascii="Calibri" w:eastAsia="Calibri" w:hAnsi="Calibri" w:cs="Calibri"/>
          <w:color w:val="00000A"/>
        </w:rPr>
        <w:t>t full specifications of your rights by writing to the address of the Data Controller.</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b/>
          <w:color w:val="00000A"/>
        </w:rPr>
        <w:t>Communication and dissemination</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The collected data will not be disseminated, sold or exchanged with third parties without the express consent of the interested party, e</w:t>
      </w:r>
      <w:r>
        <w:rPr>
          <w:rFonts w:ascii="Calibri" w:eastAsia="Calibri" w:hAnsi="Calibri" w:cs="Calibri"/>
          <w:color w:val="00000A"/>
        </w:rPr>
        <w:t xml:space="preserve">xcept any communications necessary to provide the requested service. </w:t>
      </w:r>
      <w:r>
        <w:rPr>
          <w:rFonts w:ascii="Calibri" w:eastAsia="Calibri" w:hAnsi="Calibri" w:cs="Calibri"/>
          <w:color w:val="00000A"/>
        </w:rPr>
        <w:t>The data may also be communicated to the competent authorities, in accordance with the law.</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b/>
          <w:color w:val="00000A"/>
        </w:rPr>
        <w:t>Data retention time</w:t>
      </w:r>
    </w:p>
    <w:p w:rsidR="00AC41B7" w:rsidRDefault="004752B5" w:rsidP="004752B5">
      <w:pPr>
        <w:widowControl w:val="0"/>
        <w:spacing w:after="150" w:line="360" w:lineRule="auto"/>
        <w:jc w:val="both"/>
        <w:rPr>
          <w:rFonts w:ascii="Calibri" w:eastAsia="Calibri" w:hAnsi="Calibri" w:cs="Calibri"/>
          <w:color w:val="00000A"/>
        </w:rPr>
      </w:pPr>
      <w:r>
        <w:rPr>
          <w:rFonts w:ascii="Calibri" w:eastAsia="Calibri" w:hAnsi="Calibri" w:cs="Calibri"/>
          <w:color w:val="00000A"/>
        </w:rPr>
        <w:t>The data will be kept for the time strictly necessary for the aforementioned purposes and in any case for a period not exceeding 5 years if in the meantime the right of opposition is not exercised by the interested party.</w:t>
      </w:r>
    </w:p>
    <w:p w:rsidR="00AC41B7" w:rsidRDefault="00AC41B7" w:rsidP="004752B5">
      <w:pPr>
        <w:widowControl w:val="0"/>
        <w:spacing w:after="150" w:line="360" w:lineRule="auto"/>
        <w:jc w:val="both"/>
        <w:rPr>
          <w:rFonts w:ascii="Calibri" w:eastAsia="Calibri" w:hAnsi="Calibri" w:cs="Calibri"/>
          <w:color w:val="00000A"/>
        </w:rPr>
      </w:pPr>
    </w:p>
    <w:p w:rsidR="00AC41B7" w:rsidRDefault="004752B5" w:rsidP="004752B5">
      <w:pPr>
        <w:widowControl w:val="0"/>
        <w:spacing w:after="150" w:line="360" w:lineRule="auto"/>
        <w:jc w:val="both"/>
        <w:rPr>
          <w:rFonts w:ascii="Times New Roman" w:eastAsia="Times New Roman" w:hAnsi="Times New Roman" w:cs="Times New Roman"/>
          <w:color w:val="00000A"/>
          <w:sz w:val="24"/>
        </w:rPr>
      </w:pPr>
      <w:r>
        <w:rPr>
          <w:rFonts w:ascii="Calibri" w:eastAsia="Calibri" w:hAnsi="Calibri" w:cs="Calibri"/>
          <w:color w:val="00000A"/>
        </w:rPr>
        <w:t>Last updated: August 6, 2018</w:t>
      </w:r>
    </w:p>
    <w:p w:rsidR="00AC41B7" w:rsidRDefault="00AC41B7" w:rsidP="004752B5">
      <w:pPr>
        <w:widowControl w:val="0"/>
        <w:spacing w:after="0" w:line="360" w:lineRule="auto"/>
        <w:jc w:val="both"/>
        <w:rPr>
          <w:rFonts w:ascii="Century Gothic" w:eastAsia="Century Gothic" w:hAnsi="Century Gothic" w:cs="Century Gothic"/>
          <w:color w:val="00000A"/>
          <w:sz w:val="18"/>
        </w:rPr>
      </w:pPr>
    </w:p>
    <w:p w:rsidR="00AC41B7" w:rsidRDefault="00AC41B7" w:rsidP="004752B5">
      <w:pPr>
        <w:widowControl w:val="0"/>
        <w:suppressAutoHyphens/>
        <w:spacing w:after="0" w:line="360" w:lineRule="auto"/>
        <w:jc w:val="both"/>
        <w:rPr>
          <w:rFonts w:ascii="Century Gothic" w:eastAsia="Century Gothic" w:hAnsi="Century Gothic" w:cs="Century Gothic"/>
          <w:b/>
          <w:color w:val="00000A"/>
          <w:sz w:val="18"/>
        </w:rPr>
      </w:pPr>
    </w:p>
    <w:p w:rsidR="00AC41B7" w:rsidRDefault="004752B5" w:rsidP="004752B5">
      <w:pPr>
        <w:widowControl w:val="0"/>
        <w:suppressAutoHyphens/>
        <w:spacing w:after="0" w:line="360" w:lineRule="auto"/>
        <w:jc w:val="both"/>
        <w:rPr>
          <w:rFonts w:ascii="Century Gothic" w:eastAsia="Century Gothic" w:hAnsi="Century Gothic" w:cs="Century Gothic"/>
          <w:b/>
          <w:color w:val="00000A"/>
          <w:sz w:val="18"/>
        </w:rPr>
      </w:pPr>
      <w:r>
        <w:rPr>
          <w:rFonts w:ascii="Century Gothic" w:eastAsia="Century Gothic" w:hAnsi="Century Gothic" w:cs="Century Gothic"/>
          <w:b/>
          <w:color w:val="00000A"/>
          <w:sz w:val="18"/>
        </w:rPr>
        <w:t>the Owner</w:t>
      </w:r>
    </w:p>
    <w:p w:rsidR="00AC41B7" w:rsidRDefault="004752B5" w:rsidP="004752B5">
      <w:pPr>
        <w:widowControl w:val="0"/>
        <w:suppressAutoHyphens/>
        <w:spacing w:after="0" w:line="360" w:lineRule="auto"/>
        <w:jc w:val="both"/>
        <w:rPr>
          <w:rFonts w:ascii="Century Gothic" w:eastAsia="Century Gothic" w:hAnsi="Century Gothic" w:cs="Century Gothic"/>
          <w:i/>
          <w:color w:val="00000A"/>
          <w:sz w:val="16"/>
        </w:rPr>
      </w:pPr>
      <w:r>
        <w:rPr>
          <w:rFonts w:ascii="Century Gothic" w:eastAsia="Century Gothic" w:hAnsi="Century Gothic" w:cs="Century Gothic"/>
          <w:i/>
          <w:color w:val="00000A"/>
          <w:sz w:val="16"/>
        </w:rPr>
        <w:t>(signature)</w:t>
      </w:r>
    </w:p>
    <w:p w:rsidR="00AC41B7" w:rsidRDefault="00AC41B7" w:rsidP="004752B5">
      <w:pPr>
        <w:widowControl w:val="0"/>
        <w:suppressAutoHyphens/>
        <w:spacing w:after="0" w:line="360" w:lineRule="auto"/>
        <w:jc w:val="both"/>
        <w:rPr>
          <w:rFonts w:ascii="Century Gothic" w:eastAsia="Century Gothic" w:hAnsi="Century Gothic" w:cs="Century Gothic"/>
          <w:b/>
          <w:color w:val="00000A"/>
          <w:sz w:val="18"/>
        </w:rPr>
      </w:pPr>
    </w:p>
    <w:p w:rsidR="00AC41B7" w:rsidRDefault="00AC41B7" w:rsidP="004752B5">
      <w:pPr>
        <w:widowControl w:val="0"/>
        <w:suppressAutoHyphens/>
        <w:spacing w:after="0" w:line="360" w:lineRule="auto"/>
        <w:jc w:val="both"/>
        <w:rPr>
          <w:rFonts w:ascii="Century Gothic" w:eastAsia="Century Gothic" w:hAnsi="Century Gothic" w:cs="Century Gothic"/>
          <w:b/>
          <w:color w:val="00000A"/>
          <w:sz w:val="18"/>
        </w:rPr>
      </w:pPr>
    </w:p>
    <w:p w:rsidR="00AC41B7" w:rsidRDefault="00AC41B7" w:rsidP="004752B5">
      <w:pPr>
        <w:widowControl w:val="0"/>
        <w:suppressAutoHyphens/>
        <w:spacing w:after="0" w:line="360" w:lineRule="auto"/>
        <w:jc w:val="both"/>
        <w:rPr>
          <w:rFonts w:ascii="Century Gothic" w:eastAsia="Century Gothic" w:hAnsi="Century Gothic" w:cs="Century Gothic"/>
          <w:b/>
          <w:color w:val="00000A"/>
          <w:sz w:val="18"/>
        </w:rPr>
      </w:pPr>
    </w:p>
    <w:p w:rsidR="00AC41B7" w:rsidRDefault="00AC41B7" w:rsidP="004752B5">
      <w:pPr>
        <w:widowControl w:val="0"/>
        <w:suppressAutoHyphens/>
        <w:spacing w:after="0" w:line="360" w:lineRule="auto"/>
        <w:jc w:val="both"/>
        <w:rPr>
          <w:rFonts w:ascii="Century Gothic" w:eastAsia="Century Gothic" w:hAnsi="Century Gothic" w:cs="Century Gothic"/>
          <w:b/>
          <w:color w:val="00000A"/>
          <w:sz w:val="18"/>
        </w:rPr>
      </w:pPr>
    </w:p>
    <w:p w:rsidR="00AC41B7" w:rsidRDefault="00AC41B7" w:rsidP="004752B5">
      <w:pPr>
        <w:widowControl w:val="0"/>
        <w:suppressAutoHyphens/>
        <w:spacing w:after="0" w:line="360" w:lineRule="auto"/>
        <w:jc w:val="both"/>
        <w:rPr>
          <w:rFonts w:ascii="Century Gothic" w:eastAsia="Century Gothic" w:hAnsi="Century Gothic" w:cs="Century Gothic"/>
          <w:b/>
          <w:color w:val="00000A"/>
          <w:sz w:val="18"/>
        </w:rPr>
      </w:pPr>
    </w:p>
    <w:p w:rsidR="00AC41B7" w:rsidRDefault="00AC41B7" w:rsidP="004752B5">
      <w:pPr>
        <w:widowControl w:val="0"/>
        <w:spacing w:after="0" w:line="240" w:lineRule="auto"/>
        <w:jc w:val="both"/>
        <w:rPr>
          <w:rFonts w:ascii="Century Gothic" w:eastAsia="Century Gothic" w:hAnsi="Century Gothic" w:cs="Century Gothic"/>
          <w:b/>
          <w:color w:val="00000A"/>
          <w:sz w:val="18"/>
        </w:rPr>
      </w:pPr>
    </w:p>
    <w:p w:rsidR="00AC41B7" w:rsidRDefault="00AC41B7" w:rsidP="004752B5">
      <w:pPr>
        <w:widowControl w:val="0"/>
        <w:spacing w:after="0" w:line="240" w:lineRule="auto"/>
        <w:jc w:val="both"/>
        <w:rPr>
          <w:rFonts w:ascii="Calibri" w:eastAsia="Calibri" w:hAnsi="Calibri" w:cs="Calibri"/>
          <w:b/>
          <w:color w:val="00000A"/>
        </w:rPr>
      </w:pPr>
    </w:p>
    <w:p w:rsidR="00AC41B7" w:rsidRDefault="00AC41B7" w:rsidP="004752B5">
      <w:pPr>
        <w:widowControl w:val="0"/>
        <w:tabs>
          <w:tab w:val="left" w:pos="142"/>
        </w:tabs>
        <w:suppressAutoHyphens/>
        <w:spacing w:after="0" w:line="360" w:lineRule="auto"/>
        <w:jc w:val="both"/>
        <w:rPr>
          <w:rFonts w:ascii="Century Gothic" w:eastAsia="Century Gothic" w:hAnsi="Century Gothic" w:cs="Century Gothic"/>
          <w:color w:val="00000A"/>
          <w:sz w:val="18"/>
        </w:rPr>
      </w:pPr>
    </w:p>
    <w:p w:rsidR="00AC41B7" w:rsidRDefault="004752B5" w:rsidP="004752B5">
      <w:pPr>
        <w:widowControl w:val="0"/>
        <w:tabs>
          <w:tab w:val="left" w:pos="142"/>
        </w:tabs>
        <w:suppressAutoHyphens/>
        <w:spacing w:after="0" w:line="360" w:lineRule="auto"/>
        <w:jc w:val="both"/>
        <w:rPr>
          <w:rFonts w:ascii="Century Gothic" w:eastAsia="Century Gothic" w:hAnsi="Century Gothic" w:cs="Century Gothic"/>
          <w:color w:val="00000A"/>
          <w:sz w:val="18"/>
        </w:rPr>
      </w:pPr>
      <w:r>
        <w:rPr>
          <w:rFonts w:ascii="Century Gothic" w:eastAsia="Century Gothic" w:hAnsi="Century Gothic" w:cs="Century Gothic"/>
          <w:color w:val="00000A"/>
          <w:sz w:val="18"/>
        </w:rPr>
        <w:t xml:space="preserve"># </w:t>
      </w:r>
      <w:r>
        <w:rPr>
          <w:rFonts w:ascii="Century Gothic" w:eastAsia="Century Gothic" w:hAnsi="Century Gothic" w:cs="Century Gothic"/>
          <w:color w:val="00000A"/>
          <w:sz w:val="18"/>
        </w:rPr>
        <w:tab/>
        <w:t>I declare I have read the above information</w:t>
      </w:r>
    </w:p>
    <w:p w:rsidR="00AC41B7" w:rsidRDefault="00AC41B7" w:rsidP="004752B5">
      <w:pPr>
        <w:widowControl w:val="0"/>
        <w:tabs>
          <w:tab w:val="left" w:pos="142"/>
        </w:tabs>
        <w:suppressAutoHyphens/>
        <w:spacing w:after="0" w:line="360" w:lineRule="auto"/>
        <w:jc w:val="both"/>
        <w:rPr>
          <w:rFonts w:ascii="Century Gothic" w:eastAsia="Century Gothic" w:hAnsi="Century Gothic" w:cs="Century Gothic"/>
          <w:color w:val="00000A"/>
          <w:sz w:val="18"/>
        </w:rPr>
      </w:pPr>
    </w:p>
    <w:p w:rsidR="00AC41B7" w:rsidRDefault="004752B5" w:rsidP="004752B5">
      <w:pPr>
        <w:widowControl w:val="0"/>
        <w:suppressAutoHyphens/>
        <w:spacing w:after="0" w:line="360" w:lineRule="auto"/>
        <w:jc w:val="both"/>
        <w:rPr>
          <w:rFonts w:ascii="Century Gothic" w:eastAsia="Century Gothic" w:hAnsi="Century Gothic" w:cs="Century Gothic"/>
          <w:color w:val="00000A"/>
          <w:sz w:val="18"/>
        </w:rPr>
      </w:pPr>
      <w:r>
        <w:rPr>
          <w:rFonts w:ascii="Century Gothic" w:eastAsia="Century Gothic" w:hAnsi="Century Gothic" w:cs="Century Gothic"/>
          <w:color w:val="00000A"/>
          <w:sz w:val="18"/>
        </w:rPr>
        <w:t>#</w:t>
      </w:r>
      <w:r>
        <w:rPr>
          <w:rFonts w:ascii="Century Gothic" w:eastAsia="Century Gothic" w:hAnsi="Century Gothic" w:cs="Century Gothic"/>
          <w:color w:val="00000A"/>
          <w:sz w:val="18"/>
        </w:rPr>
        <w:tab/>
        <w:t>And specifically give consent for the processing of data as referenced in point B above</w:t>
      </w:r>
    </w:p>
    <w:p w:rsidR="00AC41B7" w:rsidRDefault="00AC41B7">
      <w:pPr>
        <w:widowControl w:val="0"/>
        <w:suppressAutoHyphens/>
        <w:spacing w:after="0" w:line="240" w:lineRule="auto"/>
        <w:ind w:left="567" w:hanging="425"/>
        <w:rPr>
          <w:rFonts w:ascii="Calibri" w:eastAsia="Calibri" w:hAnsi="Calibri" w:cs="Calibri"/>
          <w:color w:val="00000A"/>
          <w:sz w:val="18"/>
        </w:rPr>
      </w:pPr>
    </w:p>
    <w:p w:rsidR="00AC41B7" w:rsidRDefault="00AC41B7">
      <w:pPr>
        <w:widowControl w:val="0"/>
        <w:spacing w:after="0" w:line="360" w:lineRule="auto"/>
        <w:rPr>
          <w:rFonts w:ascii="Calibri" w:eastAsia="Calibri" w:hAnsi="Calibri" w:cs="Calibri"/>
          <w:color w:val="00000A"/>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360" w:lineRule="auto"/>
        <w:jc w:val="both"/>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p w:rsidR="00AC41B7" w:rsidRDefault="00AC41B7">
      <w:pPr>
        <w:widowControl w:val="0"/>
        <w:suppressAutoHyphens/>
        <w:spacing w:after="0" w:line="240" w:lineRule="auto"/>
        <w:rPr>
          <w:rFonts w:ascii="Times New Roman" w:eastAsia="Times New Roman" w:hAnsi="Times New Roman" w:cs="Times New Roman"/>
          <w:color w:val="00000A"/>
          <w:sz w:val="24"/>
        </w:rPr>
      </w:pPr>
    </w:p>
    <w:sectPr w:rsidR="00AC41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283"/>
  <w:characterSpacingControl w:val="doNotCompress"/>
  <w:compat>
    <w:useFELayout/>
    <w:compatSetting w:name="compatibilityMode" w:uri="http://schemas.microsoft.com/office/word" w:val="12"/>
  </w:compat>
  <w:rsids>
    <w:rsidRoot w:val="00AC41B7"/>
    <w:rsid w:val="004752B5"/>
    <w:rsid w:val="00AC4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D0F2"/>
  <w15:docId w15:val="{500A8F7E-39FE-45CB-A5D1-5A553E19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Alexandru Cocianga</cp:lastModifiedBy>
  <cp:revision>2</cp:revision>
  <dcterms:created xsi:type="dcterms:W3CDTF">2020-06-01T10:45:00Z</dcterms:created>
  <dcterms:modified xsi:type="dcterms:W3CDTF">2020-06-01T10:48:00Z</dcterms:modified>
</cp:coreProperties>
</file>